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58" w:rsidRDefault="00050D58" w:rsidP="00DB20BC">
      <w:pPr>
        <w:spacing w:after="0"/>
        <w:jc w:val="center"/>
        <w:rPr>
          <w:rFonts w:ascii="Arial" w:hAnsi="Arial" w:cs="Arial"/>
          <w:b/>
          <w:sz w:val="40"/>
        </w:rPr>
      </w:pPr>
      <w:r>
        <w:rPr>
          <w:rFonts w:ascii="Arial" w:hAnsi="Arial" w:cs="Arial"/>
          <w:b/>
          <w:noProof/>
          <w:sz w:val="40"/>
          <w:lang w:eastAsia="en-GB"/>
        </w:rPr>
        <w:drawing>
          <wp:inline distT="0" distB="0" distL="0" distR="0">
            <wp:extent cx="514286" cy="4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7">
                      <a:extLst>
                        <a:ext uri="{28A0092B-C50C-407E-A947-70E740481C1C}">
                          <a14:useLocalDpi xmlns:a14="http://schemas.microsoft.com/office/drawing/2010/main" val="0"/>
                        </a:ext>
                      </a:extLst>
                    </a:blip>
                    <a:stretch>
                      <a:fillRect/>
                    </a:stretch>
                  </pic:blipFill>
                  <pic:spPr>
                    <a:xfrm>
                      <a:off x="0" y="0"/>
                      <a:ext cx="514286" cy="447619"/>
                    </a:xfrm>
                    <a:prstGeom prst="rect">
                      <a:avLst/>
                    </a:prstGeom>
                  </pic:spPr>
                </pic:pic>
              </a:graphicData>
            </a:graphic>
          </wp:inline>
        </w:drawing>
      </w:r>
    </w:p>
    <w:p w:rsidR="00050D58" w:rsidRDefault="00050D58" w:rsidP="00DB20BC">
      <w:pPr>
        <w:spacing w:after="0"/>
        <w:jc w:val="center"/>
        <w:rPr>
          <w:rFonts w:ascii="Arial" w:hAnsi="Arial" w:cs="Arial"/>
          <w:b/>
          <w:sz w:val="40"/>
        </w:rPr>
      </w:pPr>
    </w:p>
    <w:p w:rsidR="006A3BCE" w:rsidRPr="00DB20BC" w:rsidRDefault="006A3BCE" w:rsidP="00DB20BC">
      <w:pPr>
        <w:spacing w:after="0"/>
        <w:jc w:val="center"/>
        <w:rPr>
          <w:rFonts w:ascii="Arial" w:hAnsi="Arial" w:cs="Arial"/>
          <w:b/>
          <w:sz w:val="40"/>
        </w:rPr>
      </w:pPr>
      <w:r w:rsidRPr="00DB20BC">
        <w:rPr>
          <w:rFonts w:ascii="Arial" w:hAnsi="Arial" w:cs="Arial"/>
          <w:b/>
          <w:sz w:val="40"/>
        </w:rPr>
        <w:t xml:space="preserve">Oak Lodge School </w:t>
      </w:r>
    </w:p>
    <w:p w:rsidR="006A3BCE" w:rsidRDefault="00552028" w:rsidP="00DB20BC">
      <w:pPr>
        <w:spacing w:after="0"/>
        <w:rPr>
          <w:b/>
          <w:sz w:val="28"/>
        </w:rPr>
      </w:pPr>
      <w:r w:rsidRPr="00DB20BC">
        <w:rPr>
          <w:rFonts w:ascii="Arial" w:hAnsi="Arial" w:cs="Arial"/>
          <w:b/>
          <w:noProof/>
          <w:sz w:val="40"/>
          <w:lang w:eastAsia="en-GB"/>
        </w:rPr>
        <mc:AlternateContent>
          <mc:Choice Requires="wps">
            <w:drawing>
              <wp:anchor distT="45720" distB="45720" distL="114300" distR="114300" simplePos="0" relativeHeight="251659264" behindDoc="0" locked="0" layoutInCell="1" allowOverlap="1" wp14:anchorId="5B26713C" wp14:editId="6CD2FF02">
                <wp:simplePos x="0" y="0"/>
                <wp:positionH relativeFrom="margin">
                  <wp:posOffset>827405</wp:posOffset>
                </wp:positionH>
                <wp:positionV relativeFrom="page">
                  <wp:posOffset>1904999</wp:posOffset>
                </wp:positionV>
                <wp:extent cx="4781550" cy="809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809625"/>
                        </a:xfrm>
                        <a:prstGeom prst="rect">
                          <a:avLst/>
                        </a:prstGeom>
                        <a:noFill/>
                        <a:ln w="3175">
                          <a:noFill/>
                          <a:miter lim="800000"/>
                          <a:headEnd/>
                          <a:tailEnd/>
                        </a:ln>
                      </wps:spPr>
                      <wps:txbx>
                        <w:txbxContent>
                          <w:p w:rsidR="006A3BCE" w:rsidRPr="006A3BCE" w:rsidRDefault="006A3BCE" w:rsidP="006A3BCE">
                            <w:pPr>
                              <w:jc w:val="center"/>
                              <w:rPr>
                                <w:b/>
                                <w:sz w:val="40"/>
                              </w:rPr>
                            </w:pPr>
                            <w:r w:rsidRPr="006A3BCE">
                              <w:rPr>
                                <w:b/>
                                <w:sz w:val="40"/>
                              </w:rPr>
                              <w:t xml:space="preserve">Charging </w:t>
                            </w:r>
                            <w:r w:rsidR="00460F3F">
                              <w:rPr>
                                <w:b/>
                                <w:sz w:val="40"/>
                              </w:rPr>
                              <w:t xml:space="preserve">&amp; Remissions </w:t>
                            </w:r>
                            <w:r w:rsidRPr="006A3BCE">
                              <w:rPr>
                                <w:b/>
                                <w:sz w:val="40"/>
                              </w:rPr>
                              <w:t>Policy</w:t>
                            </w:r>
                            <w:r w:rsidR="00050D58">
                              <w:rPr>
                                <w:b/>
                                <w:sz w:val="40"/>
                              </w:rPr>
                              <w:t xml:space="preserve"> </w:t>
                            </w:r>
                            <w:r w:rsidR="00552028">
                              <w:rPr>
                                <w:b/>
                                <w:sz w:val="40"/>
                              </w:rPr>
                              <w:t xml:space="preserve">May </w:t>
                            </w:r>
                            <w:r w:rsidR="00050D58">
                              <w:rPr>
                                <w:b/>
                                <w:sz w:val="40"/>
                              </w:rPr>
                              <w:t xml:space="preserve">2019 </w:t>
                            </w:r>
                            <w:bookmarkStart w:id="0" w:name="_GoBack"/>
                            <w:bookmarkEnd w:id="0"/>
                            <w:r w:rsidR="002C32C4">
                              <w:rPr>
                                <w:b/>
                                <w:sz w:val="40"/>
                              </w:rPr>
                              <w:t xml:space="preserve">Update </w:t>
                            </w:r>
                            <w:r w:rsidR="007C3EA3">
                              <w:rPr>
                                <w:b/>
                                <w:sz w:val="40"/>
                              </w:rPr>
                              <w:t>November 2022</w:t>
                            </w:r>
                          </w:p>
                          <w:p w:rsidR="006A3BCE" w:rsidRDefault="006A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6713C" id="_x0000_t202" coordsize="21600,21600" o:spt="202" path="m,l,21600r21600,l21600,xe">
                <v:stroke joinstyle="miter"/>
                <v:path gradientshapeok="t" o:connecttype="rect"/>
              </v:shapetype>
              <v:shape id="Text Box 2" o:spid="_x0000_s1026" type="#_x0000_t202" style="position:absolute;margin-left:65.15pt;margin-top:150pt;width:376.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" filled="f" stroked="f" strokeweight=".25pt">
                <v:textbox>
                  <w:txbxContent>
                    <w:p w:rsidR="006A3BCE" w:rsidRPr="006A3BCE" w:rsidRDefault="006A3BCE" w:rsidP="006A3BCE">
                      <w:pPr>
                        <w:jc w:val="center"/>
                        <w:rPr>
                          <w:b/>
                          <w:sz w:val="40"/>
                        </w:rPr>
                      </w:pPr>
                      <w:r w:rsidRPr="006A3BCE">
                        <w:rPr>
                          <w:b/>
                          <w:sz w:val="40"/>
                        </w:rPr>
                        <w:t xml:space="preserve">Charging </w:t>
                      </w:r>
                      <w:r w:rsidR="00460F3F">
                        <w:rPr>
                          <w:b/>
                          <w:sz w:val="40"/>
                        </w:rPr>
                        <w:t xml:space="preserve">&amp; Remissions </w:t>
                      </w:r>
                      <w:r w:rsidRPr="006A3BCE">
                        <w:rPr>
                          <w:b/>
                          <w:sz w:val="40"/>
                        </w:rPr>
                        <w:t>Policy</w:t>
                      </w:r>
                      <w:r w:rsidR="00050D58">
                        <w:rPr>
                          <w:b/>
                          <w:sz w:val="40"/>
                        </w:rPr>
                        <w:t xml:space="preserve"> </w:t>
                      </w:r>
                      <w:r w:rsidR="00552028">
                        <w:rPr>
                          <w:b/>
                          <w:sz w:val="40"/>
                        </w:rPr>
                        <w:t xml:space="preserve">May </w:t>
                      </w:r>
                      <w:r w:rsidR="00050D58">
                        <w:rPr>
                          <w:b/>
                          <w:sz w:val="40"/>
                        </w:rPr>
                        <w:t xml:space="preserve">2019 </w:t>
                      </w:r>
                      <w:bookmarkStart w:id="1" w:name="_GoBack"/>
                      <w:bookmarkEnd w:id="1"/>
                      <w:r w:rsidR="002C32C4">
                        <w:rPr>
                          <w:b/>
                          <w:sz w:val="40"/>
                        </w:rPr>
                        <w:t xml:space="preserve">Update </w:t>
                      </w:r>
                      <w:r w:rsidR="007C3EA3">
                        <w:rPr>
                          <w:b/>
                          <w:sz w:val="40"/>
                        </w:rPr>
                        <w:t>November 2022</w:t>
                      </w:r>
                    </w:p>
                    <w:p w:rsidR="006A3BCE" w:rsidRDefault="006A3BCE"/>
                  </w:txbxContent>
                </v:textbox>
                <w10:wrap anchorx="margin" anchory="page"/>
              </v:shape>
            </w:pict>
          </mc:Fallback>
        </mc:AlternateContent>
      </w:r>
    </w:p>
    <w:p w:rsidR="006A3BCE" w:rsidRDefault="006A3BCE" w:rsidP="006A3BCE">
      <w:pPr>
        <w:jc w:val="center"/>
        <w:rPr>
          <w:b/>
          <w:u w:val="single"/>
        </w:rPr>
      </w:pPr>
    </w:p>
    <w:p w:rsidR="00DB20BC" w:rsidRDefault="00DB20BC" w:rsidP="006A3BCE">
      <w:pPr>
        <w:jc w:val="center"/>
        <w:rPr>
          <w:rFonts w:ascii="Arial" w:hAnsi="Arial" w:cs="Arial"/>
          <w:b/>
          <w:u w:val="single"/>
        </w:rPr>
      </w:pPr>
    </w:p>
    <w:tbl>
      <w:tblPr>
        <w:tblStyle w:val="TableGrid"/>
        <w:tblpPr w:leftFromText="180" w:rightFromText="180" w:vertAnchor="text" w:horzAnchor="margin" w:tblpY="181"/>
        <w:tblW w:w="0" w:type="auto"/>
        <w:tblLook w:val="04A0" w:firstRow="1" w:lastRow="0" w:firstColumn="1" w:lastColumn="0" w:noHBand="0" w:noVBand="1"/>
      </w:tblPr>
      <w:tblGrid>
        <w:gridCol w:w="3005"/>
        <w:gridCol w:w="3005"/>
        <w:gridCol w:w="3006"/>
      </w:tblGrid>
      <w:tr w:rsidR="00150974" w:rsidRPr="00037C59" w:rsidTr="00150974">
        <w:tc>
          <w:tcPr>
            <w:tcW w:w="3005" w:type="dxa"/>
          </w:tcPr>
          <w:p w:rsidR="00150974" w:rsidRPr="00037C59" w:rsidRDefault="00150974" w:rsidP="00150974">
            <w:pPr>
              <w:spacing w:after="200"/>
              <w:rPr>
                <w:b/>
                <w:bCs/>
              </w:rPr>
            </w:pPr>
            <w:r w:rsidRPr="00037C59">
              <w:rPr>
                <w:b/>
                <w:bCs/>
              </w:rPr>
              <w:t xml:space="preserve">Policy Date </w:t>
            </w:r>
          </w:p>
        </w:tc>
        <w:tc>
          <w:tcPr>
            <w:tcW w:w="3005" w:type="dxa"/>
          </w:tcPr>
          <w:p w:rsidR="00150974" w:rsidRPr="00037C59" w:rsidRDefault="00150974" w:rsidP="00150974">
            <w:pPr>
              <w:spacing w:after="200"/>
              <w:rPr>
                <w:b/>
                <w:bCs/>
              </w:rPr>
            </w:pPr>
            <w:r w:rsidRPr="00037C59">
              <w:rPr>
                <w:b/>
                <w:bCs/>
              </w:rPr>
              <w:t>January 20</w:t>
            </w:r>
            <w:r>
              <w:rPr>
                <w:b/>
                <w:bCs/>
              </w:rPr>
              <w:t>19</w:t>
            </w:r>
          </w:p>
        </w:tc>
        <w:tc>
          <w:tcPr>
            <w:tcW w:w="3006" w:type="dxa"/>
          </w:tcPr>
          <w:p w:rsidR="00150974" w:rsidRPr="00037C59" w:rsidRDefault="00150974" w:rsidP="00150974">
            <w:pPr>
              <w:spacing w:after="200"/>
              <w:rPr>
                <w:b/>
                <w:bCs/>
              </w:rPr>
            </w:pPr>
            <w:r w:rsidRPr="00037C59">
              <w:rPr>
                <w:b/>
                <w:bCs/>
              </w:rPr>
              <w:t>Review January 20</w:t>
            </w:r>
            <w:r>
              <w:rPr>
                <w:b/>
                <w:bCs/>
              </w:rPr>
              <w:t>19</w:t>
            </w:r>
          </w:p>
        </w:tc>
      </w:tr>
      <w:tr w:rsidR="00150974" w:rsidRPr="00037C59" w:rsidTr="00150974">
        <w:tc>
          <w:tcPr>
            <w:tcW w:w="3005" w:type="dxa"/>
          </w:tcPr>
          <w:p w:rsidR="00150974" w:rsidRPr="00037C59" w:rsidRDefault="00150974" w:rsidP="00150974">
            <w:pPr>
              <w:spacing w:after="200"/>
              <w:rPr>
                <w:b/>
                <w:bCs/>
              </w:rPr>
            </w:pPr>
            <w:r w:rsidRPr="00037C59">
              <w:rPr>
                <w:b/>
                <w:bCs/>
              </w:rPr>
              <w:t xml:space="preserve">Agreed to be adopted </w:t>
            </w:r>
          </w:p>
          <w:p w:rsidR="00150974" w:rsidRPr="00037C59" w:rsidRDefault="00150974" w:rsidP="00150974">
            <w:pPr>
              <w:spacing w:after="200"/>
              <w:rPr>
                <w:b/>
                <w:bCs/>
              </w:rPr>
            </w:pPr>
            <w:r w:rsidRPr="00037C59">
              <w:rPr>
                <w:b/>
                <w:bCs/>
              </w:rPr>
              <w:t>Signature:</w:t>
            </w:r>
          </w:p>
        </w:tc>
        <w:tc>
          <w:tcPr>
            <w:tcW w:w="3005" w:type="dxa"/>
          </w:tcPr>
          <w:p w:rsidR="00150974" w:rsidRPr="00037C59" w:rsidRDefault="00150974" w:rsidP="00150974">
            <w:pPr>
              <w:spacing w:after="200"/>
              <w:rPr>
                <w:b/>
                <w:bCs/>
              </w:rPr>
            </w:pPr>
            <w:r w:rsidRPr="00037C59">
              <w:rPr>
                <w:b/>
                <w:bCs/>
              </w:rPr>
              <w:t>Date : February 20</w:t>
            </w:r>
            <w:r>
              <w:rPr>
                <w:b/>
                <w:bCs/>
              </w:rPr>
              <w:t>19</w:t>
            </w:r>
          </w:p>
        </w:tc>
        <w:tc>
          <w:tcPr>
            <w:tcW w:w="3006" w:type="dxa"/>
          </w:tcPr>
          <w:p w:rsidR="00150974" w:rsidRPr="00037C59" w:rsidRDefault="00150974" w:rsidP="00150974">
            <w:pPr>
              <w:spacing w:after="200"/>
              <w:rPr>
                <w:b/>
                <w:bCs/>
              </w:rPr>
            </w:pPr>
            <w:r w:rsidRPr="00037C59">
              <w:rPr>
                <w:b/>
                <w:bCs/>
              </w:rPr>
              <w:t>Schools &amp; Resources committee</w:t>
            </w:r>
          </w:p>
        </w:tc>
      </w:tr>
      <w:tr w:rsidR="00150974" w:rsidRPr="00037C59" w:rsidTr="00150974">
        <w:tc>
          <w:tcPr>
            <w:tcW w:w="3005" w:type="dxa"/>
          </w:tcPr>
          <w:p w:rsidR="00150974" w:rsidRPr="00037C59" w:rsidRDefault="00150974" w:rsidP="00150974">
            <w:pPr>
              <w:spacing w:after="200"/>
              <w:rPr>
                <w:b/>
                <w:bCs/>
              </w:rPr>
            </w:pPr>
            <w:r w:rsidRPr="00037C59">
              <w:rPr>
                <w:b/>
                <w:bCs/>
              </w:rPr>
              <w:t xml:space="preserve">Policy update Date </w:t>
            </w:r>
          </w:p>
        </w:tc>
        <w:tc>
          <w:tcPr>
            <w:tcW w:w="3005" w:type="dxa"/>
          </w:tcPr>
          <w:p w:rsidR="00150974" w:rsidRPr="00037C59" w:rsidRDefault="00150974" w:rsidP="00150974">
            <w:pPr>
              <w:spacing w:after="200"/>
              <w:rPr>
                <w:b/>
                <w:bCs/>
              </w:rPr>
            </w:pPr>
            <w:r w:rsidRPr="00037C59">
              <w:rPr>
                <w:b/>
                <w:bCs/>
              </w:rPr>
              <w:t>202</w:t>
            </w:r>
            <w:r>
              <w:rPr>
                <w:b/>
                <w:bCs/>
              </w:rPr>
              <w:t>1</w:t>
            </w:r>
          </w:p>
        </w:tc>
        <w:tc>
          <w:tcPr>
            <w:tcW w:w="3006" w:type="dxa"/>
          </w:tcPr>
          <w:p w:rsidR="00150974" w:rsidRPr="00037C59" w:rsidRDefault="00150974" w:rsidP="00150974">
            <w:pPr>
              <w:spacing w:after="200"/>
              <w:rPr>
                <w:b/>
                <w:bCs/>
              </w:rPr>
            </w:pPr>
            <w:r w:rsidRPr="00037C59">
              <w:rPr>
                <w:b/>
                <w:bCs/>
              </w:rPr>
              <w:t>Review April 202</w:t>
            </w:r>
            <w:r>
              <w:rPr>
                <w:b/>
                <w:bCs/>
              </w:rPr>
              <w:t>3</w:t>
            </w:r>
          </w:p>
        </w:tc>
      </w:tr>
      <w:tr w:rsidR="00150974" w:rsidRPr="00037C59" w:rsidTr="00150974">
        <w:tc>
          <w:tcPr>
            <w:tcW w:w="3005" w:type="dxa"/>
          </w:tcPr>
          <w:p w:rsidR="00150974" w:rsidRPr="00037C59" w:rsidRDefault="00150974" w:rsidP="00150974">
            <w:pPr>
              <w:spacing w:after="200"/>
              <w:rPr>
                <w:b/>
                <w:bCs/>
              </w:rPr>
            </w:pPr>
            <w:r w:rsidRPr="00037C59">
              <w:rPr>
                <w:b/>
                <w:bCs/>
              </w:rPr>
              <w:t xml:space="preserve">Agreed to be adopted </w:t>
            </w:r>
          </w:p>
          <w:p w:rsidR="00150974" w:rsidRPr="00037C59" w:rsidRDefault="00150974" w:rsidP="00150974">
            <w:pPr>
              <w:spacing w:after="200"/>
              <w:rPr>
                <w:b/>
                <w:bCs/>
              </w:rPr>
            </w:pPr>
            <w:r w:rsidRPr="00037C59">
              <w:rPr>
                <w:b/>
                <w:bCs/>
              </w:rPr>
              <w:t>Signature:</w:t>
            </w:r>
          </w:p>
        </w:tc>
        <w:tc>
          <w:tcPr>
            <w:tcW w:w="3005" w:type="dxa"/>
          </w:tcPr>
          <w:p w:rsidR="00150974" w:rsidRPr="00037C59" w:rsidRDefault="00150974" w:rsidP="00150974">
            <w:pPr>
              <w:spacing w:after="200"/>
              <w:rPr>
                <w:b/>
                <w:bCs/>
              </w:rPr>
            </w:pPr>
            <w:r w:rsidRPr="00037C59">
              <w:rPr>
                <w:b/>
                <w:bCs/>
              </w:rPr>
              <w:t>Date  February 2021</w:t>
            </w:r>
          </w:p>
        </w:tc>
        <w:tc>
          <w:tcPr>
            <w:tcW w:w="3006" w:type="dxa"/>
          </w:tcPr>
          <w:p w:rsidR="00150974" w:rsidRPr="00037C59" w:rsidRDefault="00150974" w:rsidP="00150974">
            <w:pPr>
              <w:spacing w:after="200"/>
              <w:rPr>
                <w:b/>
                <w:bCs/>
              </w:rPr>
            </w:pPr>
            <w:r w:rsidRPr="00037C59">
              <w:rPr>
                <w:b/>
                <w:bCs/>
              </w:rPr>
              <w:t>Schools &amp; Resources committee</w:t>
            </w:r>
          </w:p>
        </w:tc>
      </w:tr>
      <w:tr w:rsidR="00150974" w:rsidRPr="00037C59" w:rsidTr="00150974">
        <w:tc>
          <w:tcPr>
            <w:tcW w:w="3005" w:type="dxa"/>
          </w:tcPr>
          <w:p w:rsidR="00150974" w:rsidRPr="00037C59" w:rsidRDefault="00150974" w:rsidP="00150974">
            <w:pPr>
              <w:spacing w:after="200"/>
              <w:rPr>
                <w:b/>
                <w:bCs/>
              </w:rPr>
            </w:pPr>
            <w:r w:rsidRPr="00037C59">
              <w:rPr>
                <w:b/>
                <w:bCs/>
              </w:rPr>
              <w:t>Review September 2021</w:t>
            </w:r>
          </w:p>
        </w:tc>
        <w:tc>
          <w:tcPr>
            <w:tcW w:w="3005" w:type="dxa"/>
          </w:tcPr>
          <w:p w:rsidR="00150974" w:rsidRPr="00037C59" w:rsidRDefault="00150974" w:rsidP="00150974">
            <w:pPr>
              <w:spacing w:after="200"/>
              <w:rPr>
                <w:b/>
                <w:bCs/>
              </w:rPr>
            </w:pPr>
          </w:p>
        </w:tc>
        <w:tc>
          <w:tcPr>
            <w:tcW w:w="3006" w:type="dxa"/>
          </w:tcPr>
          <w:p w:rsidR="00150974" w:rsidRPr="00037C59" w:rsidRDefault="00150974" w:rsidP="00150974">
            <w:pPr>
              <w:spacing w:after="200"/>
              <w:rPr>
                <w:b/>
                <w:bCs/>
              </w:rPr>
            </w:pPr>
          </w:p>
        </w:tc>
      </w:tr>
      <w:tr w:rsidR="00150974" w:rsidRPr="00037C59" w:rsidTr="00150974">
        <w:tc>
          <w:tcPr>
            <w:tcW w:w="3005" w:type="dxa"/>
          </w:tcPr>
          <w:p w:rsidR="00150974" w:rsidRPr="00037C59" w:rsidRDefault="00150974" w:rsidP="00150974">
            <w:pPr>
              <w:spacing w:after="200"/>
              <w:rPr>
                <w:b/>
                <w:bCs/>
              </w:rPr>
            </w:pPr>
            <w:r w:rsidRPr="00037C59">
              <w:rPr>
                <w:b/>
                <w:bCs/>
              </w:rPr>
              <w:t xml:space="preserve">Agreed to be adopted </w:t>
            </w:r>
          </w:p>
          <w:p w:rsidR="00150974" w:rsidRPr="00037C59" w:rsidRDefault="00150974" w:rsidP="00150974">
            <w:pPr>
              <w:spacing w:after="200"/>
              <w:rPr>
                <w:b/>
                <w:bCs/>
              </w:rPr>
            </w:pPr>
            <w:r w:rsidRPr="00037C59">
              <w:rPr>
                <w:b/>
                <w:bCs/>
              </w:rPr>
              <w:t>Signature:</w:t>
            </w:r>
          </w:p>
        </w:tc>
        <w:tc>
          <w:tcPr>
            <w:tcW w:w="3005" w:type="dxa"/>
          </w:tcPr>
          <w:p w:rsidR="00150974" w:rsidRPr="00037C59" w:rsidRDefault="00150974" w:rsidP="00150974">
            <w:pPr>
              <w:spacing w:after="200"/>
              <w:rPr>
                <w:b/>
                <w:bCs/>
              </w:rPr>
            </w:pPr>
            <w:r w:rsidRPr="00037C59">
              <w:rPr>
                <w:b/>
                <w:bCs/>
              </w:rPr>
              <w:t xml:space="preserve">Date </w:t>
            </w:r>
          </w:p>
        </w:tc>
        <w:tc>
          <w:tcPr>
            <w:tcW w:w="3006" w:type="dxa"/>
          </w:tcPr>
          <w:p w:rsidR="00150974" w:rsidRPr="00037C59" w:rsidRDefault="00150974" w:rsidP="00150974">
            <w:pPr>
              <w:spacing w:after="200"/>
              <w:rPr>
                <w:b/>
                <w:bCs/>
              </w:rPr>
            </w:pPr>
            <w:r w:rsidRPr="00037C59">
              <w:rPr>
                <w:b/>
                <w:bCs/>
              </w:rPr>
              <w:t>Schools &amp; Resources committee</w:t>
            </w:r>
          </w:p>
        </w:tc>
      </w:tr>
    </w:tbl>
    <w:p w:rsidR="00DB20BC" w:rsidRDefault="00DB20BC" w:rsidP="00DB20BC">
      <w:pPr>
        <w:spacing w:after="0"/>
        <w:jc w:val="center"/>
        <w:rPr>
          <w:rFonts w:ascii="Arial" w:hAnsi="Arial" w:cs="Arial"/>
          <w:b/>
          <w:u w:val="single"/>
        </w:rPr>
      </w:pPr>
    </w:p>
    <w:p w:rsidR="00F12567" w:rsidRPr="008F6DBF" w:rsidRDefault="00AC6026" w:rsidP="002A1D01">
      <w:pPr>
        <w:spacing w:before="120" w:after="0" w:line="240" w:lineRule="auto"/>
        <w:rPr>
          <w:rFonts w:ascii="Arial" w:hAnsi="Arial" w:cs="Arial"/>
        </w:rPr>
      </w:pPr>
      <w:r w:rsidRPr="008F6DBF">
        <w:rPr>
          <w:rFonts w:ascii="Arial" w:hAnsi="Arial" w:cs="Arial"/>
          <w:b/>
          <w:u w:val="single"/>
        </w:rPr>
        <w:t>Aim</w:t>
      </w:r>
    </w:p>
    <w:p w:rsidR="00AC6026" w:rsidRPr="008F6DBF" w:rsidRDefault="00AC6026" w:rsidP="002A1D01">
      <w:pPr>
        <w:spacing w:before="120" w:after="0" w:line="240" w:lineRule="auto"/>
        <w:rPr>
          <w:rFonts w:ascii="Arial" w:hAnsi="Arial" w:cs="Arial"/>
        </w:rPr>
      </w:pPr>
    </w:p>
    <w:p w:rsidR="00AC6026" w:rsidRPr="008F6DBF" w:rsidRDefault="00AC6026" w:rsidP="002A1D01">
      <w:pPr>
        <w:spacing w:before="120" w:after="0" w:line="240" w:lineRule="auto"/>
        <w:rPr>
          <w:rFonts w:ascii="Arial" w:hAnsi="Arial" w:cs="Arial"/>
        </w:rPr>
      </w:pPr>
      <w:r w:rsidRPr="008F6DBF">
        <w:rPr>
          <w:rFonts w:ascii="Arial" w:hAnsi="Arial" w:cs="Arial"/>
        </w:rPr>
        <w:t xml:space="preserve">The aim of this policy is to set out what charges will be levied for </w:t>
      </w:r>
      <w:r w:rsidR="002C32C4" w:rsidRPr="008F6DBF">
        <w:rPr>
          <w:rFonts w:ascii="Arial" w:hAnsi="Arial" w:cs="Arial"/>
        </w:rPr>
        <w:t>activities;</w:t>
      </w:r>
      <w:r w:rsidRPr="008F6DBF">
        <w:rPr>
          <w:rFonts w:ascii="Arial" w:hAnsi="Arial" w:cs="Arial"/>
        </w:rPr>
        <w:t xml:space="preserve"> what remissions will be implemented and the circumstances under which voluntary contributions will be requested from parents.</w:t>
      </w:r>
    </w:p>
    <w:p w:rsidR="00AC6026" w:rsidRPr="008F6DBF" w:rsidRDefault="00AC6026" w:rsidP="002A1D01">
      <w:pPr>
        <w:spacing w:before="120" w:after="0" w:line="240" w:lineRule="auto"/>
        <w:rPr>
          <w:rFonts w:ascii="Arial" w:hAnsi="Arial" w:cs="Arial"/>
        </w:rPr>
      </w:pPr>
    </w:p>
    <w:p w:rsidR="00AC6026" w:rsidRPr="008F6DBF" w:rsidRDefault="00AC6026" w:rsidP="002A1D01">
      <w:pPr>
        <w:spacing w:before="120" w:after="0" w:line="240" w:lineRule="auto"/>
        <w:rPr>
          <w:rFonts w:ascii="Arial" w:hAnsi="Arial" w:cs="Arial"/>
        </w:rPr>
      </w:pPr>
      <w:r w:rsidRPr="008F6DBF">
        <w:rPr>
          <w:rFonts w:ascii="Arial" w:hAnsi="Arial" w:cs="Arial"/>
          <w:b/>
          <w:u w:val="single"/>
        </w:rPr>
        <w:t>Responsibilities</w:t>
      </w:r>
    </w:p>
    <w:p w:rsidR="00AC6026" w:rsidRPr="008F6DBF" w:rsidRDefault="00AC6026" w:rsidP="002A1D01">
      <w:pPr>
        <w:spacing w:before="120" w:after="0" w:line="240" w:lineRule="auto"/>
        <w:rPr>
          <w:rFonts w:ascii="Arial" w:hAnsi="Arial" w:cs="Arial"/>
        </w:rPr>
      </w:pPr>
      <w:r w:rsidRPr="008F6DBF">
        <w:rPr>
          <w:rFonts w:ascii="Arial" w:hAnsi="Arial" w:cs="Arial"/>
        </w:rPr>
        <w:t>The Governing Body of the School are responsible for determining the content of the policy and the Headteacher for implementation. Any determinations with respect to individual parents will be considered jointly by the Headteacher and the Governing Body.</w:t>
      </w:r>
    </w:p>
    <w:p w:rsidR="00AC6026" w:rsidRPr="008F6DBF" w:rsidRDefault="00AC6026" w:rsidP="002A1D01">
      <w:pPr>
        <w:spacing w:before="120" w:after="0" w:line="240" w:lineRule="auto"/>
        <w:rPr>
          <w:rFonts w:ascii="Arial" w:hAnsi="Arial" w:cs="Arial"/>
        </w:rPr>
      </w:pPr>
    </w:p>
    <w:p w:rsidR="00AC6026" w:rsidRPr="008F6DBF" w:rsidRDefault="00AC6026" w:rsidP="002A1D01">
      <w:pPr>
        <w:spacing w:before="120" w:after="0" w:line="240" w:lineRule="auto"/>
        <w:rPr>
          <w:rFonts w:ascii="Arial" w:hAnsi="Arial" w:cs="Arial"/>
        </w:rPr>
      </w:pPr>
      <w:r w:rsidRPr="008F6DBF">
        <w:rPr>
          <w:rFonts w:ascii="Arial" w:hAnsi="Arial" w:cs="Arial"/>
          <w:b/>
          <w:u w:val="single"/>
        </w:rPr>
        <w:t>Prohibition of Charges</w:t>
      </w:r>
    </w:p>
    <w:p w:rsidR="00AC6026" w:rsidRPr="008F6DBF" w:rsidRDefault="00AC6026" w:rsidP="002A1D01">
      <w:pPr>
        <w:pStyle w:val="Default"/>
        <w:spacing w:before="120"/>
        <w:rPr>
          <w:sz w:val="22"/>
          <w:szCs w:val="22"/>
        </w:rPr>
      </w:pPr>
      <w:r w:rsidRPr="008F6DBF">
        <w:rPr>
          <w:sz w:val="22"/>
          <w:szCs w:val="22"/>
        </w:rPr>
        <w:t xml:space="preserve"> The Governing Body of the School recognise that the legislation prohibits charges for the following: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education provided during school hours (including the supply of any materials, books, instruments or other equipment);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education provided outside school hours if it is part of the National Curriculum, or part of a syllabus for a prescribed public examination that the student is being prepared for at the school, or part of religious education;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tuition for students learning to play musical instruments if the tuition is required as part of the National Curriculum, or part of a syllabus for a prescribed public examination that the student is being prepared for at the school, or part of religious education; </w:t>
      </w:r>
    </w:p>
    <w:p w:rsidR="00AC6026" w:rsidRPr="008F6DBF" w:rsidRDefault="00AC6026" w:rsidP="002A1D01">
      <w:pPr>
        <w:pStyle w:val="Default"/>
        <w:numPr>
          <w:ilvl w:val="0"/>
          <w:numId w:val="3"/>
        </w:numPr>
        <w:spacing w:before="120" w:after="120"/>
        <w:rPr>
          <w:sz w:val="22"/>
          <w:szCs w:val="22"/>
        </w:rPr>
      </w:pPr>
      <w:r w:rsidRPr="008F6DBF">
        <w:rPr>
          <w:sz w:val="22"/>
          <w:szCs w:val="22"/>
        </w:rPr>
        <w:lastRenderedPageBreak/>
        <w:t xml:space="preserve">entry for a prescribed public examination, if the student has been prepared for it at the school;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examination re-sit(s) if the student is being prepared for the re-sit(s) at the school;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education provided on any trip that takes place during school hours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education provided on any trip that takes place outside school hours if it is part of the National Curriculum, or part of a syllabus for a prescribed public examination that the student is being prepared for at the school, or part of religious education;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transporting registered students to or from the school premises, where the local education authority has a statutory obligation to provide transport;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transporting registered students to other premises where the governing body or local education authority has arranged for students to be educated;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transport provided in connection with an educational trip </w:t>
      </w:r>
    </w:p>
    <w:p w:rsidR="00AC6026" w:rsidRPr="008F6DBF" w:rsidRDefault="00AC6026" w:rsidP="002A1D01">
      <w:pPr>
        <w:pStyle w:val="Default"/>
        <w:numPr>
          <w:ilvl w:val="0"/>
          <w:numId w:val="3"/>
        </w:numPr>
        <w:spacing w:before="120" w:after="120"/>
        <w:rPr>
          <w:sz w:val="22"/>
          <w:szCs w:val="22"/>
        </w:rPr>
      </w:pPr>
      <w:r w:rsidRPr="008F6DBF">
        <w:rPr>
          <w:sz w:val="22"/>
          <w:szCs w:val="22"/>
        </w:rPr>
        <w:t xml:space="preserve">transport that enables a pupil to meet an examination requirement when he has been prepared for that examination at the school; </w:t>
      </w:r>
    </w:p>
    <w:p w:rsidR="00AC6026" w:rsidRPr="008F6DBF" w:rsidRDefault="00AC6026" w:rsidP="002A1D01">
      <w:pPr>
        <w:pStyle w:val="Default"/>
        <w:numPr>
          <w:ilvl w:val="0"/>
          <w:numId w:val="3"/>
        </w:numPr>
        <w:spacing w:before="120"/>
        <w:rPr>
          <w:sz w:val="22"/>
          <w:szCs w:val="22"/>
        </w:rPr>
      </w:pPr>
      <w:r w:rsidRPr="008F6DBF">
        <w:rPr>
          <w:sz w:val="22"/>
          <w:szCs w:val="22"/>
        </w:rPr>
        <w:t xml:space="preserve">supply teachers to cover for those teachers who are absent from school accompanying students on a residential trip </w:t>
      </w:r>
    </w:p>
    <w:p w:rsidR="00AC6026" w:rsidRPr="008F6DBF" w:rsidRDefault="00AC6026" w:rsidP="002A1D01">
      <w:pPr>
        <w:spacing w:before="120" w:after="0" w:line="240" w:lineRule="auto"/>
        <w:rPr>
          <w:rFonts w:ascii="Arial" w:hAnsi="Arial" w:cs="Arial"/>
        </w:rPr>
      </w:pPr>
    </w:p>
    <w:p w:rsidR="00AC6026" w:rsidRPr="002C32C4" w:rsidRDefault="00AC6026" w:rsidP="002C32C4">
      <w:pPr>
        <w:rPr>
          <w:rFonts w:ascii="Arial" w:hAnsi="Arial" w:cs="Arial"/>
          <w:b/>
          <w:u w:val="single"/>
        </w:rPr>
      </w:pPr>
      <w:r w:rsidRPr="008F6DBF">
        <w:rPr>
          <w:rFonts w:ascii="Arial" w:hAnsi="Arial" w:cs="Arial"/>
          <w:b/>
          <w:u w:val="single"/>
        </w:rPr>
        <w:t>Charges</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board and lodging on residential visits (not to exceed the costs)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the proportionate costs for an individual student of activities wholly or mainly outside school hours (‘optional extras’) to meet the costs for: </w:t>
      </w:r>
    </w:p>
    <w:p w:rsidR="00AC6026" w:rsidRPr="008F6DBF" w:rsidRDefault="00AC6026" w:rsidP="002A1D01">
      <w:pPr>
        <w:pStyle w:val="Default"/>
        <w:numPr>
          <w:ilvl w:val="1"/>
          <w:numId w:val="4"/>
        </w:numPr>
        <w:spacing w:before="120" w:after="120"/>
        <w:rPr>
          <w:sz w:val="22"/>
          <w:szCs w:val="22"/>
        </w:rPr>
      </w:pPr>
      <w:r w:rsidRPr="008F6DBF">
        <w:rPr>
          <w:sz w:val="22"/>
          <w:szCs w:val="22"/>
        </w:rPr>
        <w:t xml:space="preserve">travel associated costs </w:t>
      </w:r>
    </w:p>
    <w:p w:rsidR="00AC6026" w:rsidRPr="008F6DBF" w:rsidRDefault="00AC6026" w:rsidP="002A1D01">
      <w:pPr>
        <w:pStyle w:val="Default"/>
        <w:numPr>
          <w:ilvl w:val="1"/>
          <w:numId w:val="4"/>
        </w:numPr>
        <w:spacing w:before="120" w:after="120"/>
        <w:rPr>
          <w:sz w:val="22"/>
          <w:szCs w:val="22"/>
        </w:rPr>
      </w:pPr>
      <w:r w:rsidRPr="008F6DBF">
        <w:rPr>
          <w:sz w:val="22"/>
          <w:szCs w:val="22"/>
        </w:rPr>
        <w:t xml:space="preserve">materials and equipment </w:t>
      </w:r>
    </w:p>
    <w:p w:rsidR="00AC6026" w:rsidRPr="008F6DBF" w:rsidRDefault="00AC6026" w:rsidP="002A1D01">
      <w:pPr>
        <w:pStyle w:val="Default"/>
        <w:numPr>
          <w:ilvl w:val="1"/>
          <w:numId w:val="4"/>
        </w:numPr>
        <w:spacing w:before="120" w:after="120"/>
        <w:rPr>
          <w:sz w:val="22"/>
          <w:szCs w:val="22"/>
        </w:rPr>
      </w:pPr>
      <w:r w:rsidRPr="008F6DBF">
        <w:rPr>
          <w:sz w:val="22"/>
          <w:szCs w:val="22"/>
        </w:rPr>
        <w:t xml:space="preserve">non-teaching staff costs </w:t>
      </w:r>
    </w:p>
    <w:p w:rsidR="00AC6026" w:rsidRPr="008F6DBF" w:rsidRDefault="00AC6026" w:rsidP="002A1D01">
      <w:pPr>
        <w:pStyle w:val="Default"/>
        <w:numPr>
          <w:ilvl w:val="1"/>
          <w:numId w:val="4"/>
        </w:numPr>
        <w:spacing w:before="120" w:after="120"/>
        <w:rPr>
          <w:sz w:val="22"/>
          <w:szCs w:val="22"/>
        </w:rPr>
      </w:pPr>
      <w:r w:rsidRPr="008F6DBF">
        <w:rPr>
          <w:sz w:val="22"/>
          <w:szCs w:val="22"/>
        </w:rPr>
        <w:t xml:space="preserve">entrance fees/activity fees </w:t>
      </w:r>
    </w:p>
    <w:p w:rsidR="00AC6026" w:rsidRPr="008F6DBF" w:rsidRDefault="00AC6026" w:rsidP="002A1D01">
      <w:pPr>
        <w:pStyle w:val="Default"/>
        <w:numPr>
          <w:ilvl w:val="1"/>
          <w:numId w:val="4"/>
        </w:numPr>
        <w:spacing w:before="120" w:after="120"/>
        <w:rPr>
          <w:sz w:val="22"/>
          <w:szCs w:val="22"/>
        </w:rPr>
      </w:pPr>
      <w:r w:rsidRPr="008F6DBF">
        <w:rPr>
          <w:sz w:val="22"/>
          <w:szCs w:val="22"/>
        </w:rPr>
        <w:t xml:space="preserve">insurance costs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individual tuition in the playing of a musical instrument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re-sits for public examinations where no further preparation has been provided by the school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costs of non-prescribed examinations where no further preparation has been provided by the school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any other education, transport or examination fee unless charges are specifically prohibited </w:t>
      </w:r>
    </w:p>
    <w:p w:rsidR="00AC6026" w:rsidRPr="008F6DBF" w:rsidRDefault="00AC6026" w:rsidP="002A1D01">
      <w:pPr>
        <w:pStyle w:val="Default"/>
        <w:numPr>
          <w:ilvl w:val="0"/>
          <w:numId w:val="4"/>
        </w:numPr>
        <w:spacing w:before="120" w:after="120"/>
        <w:rPr>
          <w:sz w:val="22"/>
          <w:szCs w:val="22"/>
        </w:rPr>
      </w:pPr>
      <w:r w:rsidRPr="008F6DBF">
        <w:rPr>
          <w:sz w:val="22"/>
          <w:szCs w:val="22"/>
        </w:rPr>
        <w:t xml:space="preserve">breakages and replacements as a result of damages caused wilfully or negligently by student </w:t>
      </w:r>
    </w:p>
    <w:p w:rsidR="006A3BCE" w:rsidRPr="00F12567" w:rsidRDefault="00AC6026" w:rsidP="002A1D01">
      <w:pPr>
        <w:pStyle w:val="Default"/>
        <w:numPr>
          <w:ilvl w:val="0"/>
          <w:numId w:val="4"/>
        </w:numPr>
        <w:spacing w:before="120" w:after="120"/>
        <w:ind w:hanging="357"/>
        <w:rPr>
          <w:sz w:val="22"/>
          <w:szCs w:val="22"/>
        </w:rPr>
      </w:pPr>
      <w:r w:rsidRPr="00F12567">
        <w:rPr>
          <w:sz w:val="22"/>
          <w:szCs w:val="22"/>
        </w:rPr>
        <w:t>School meals ar</w:t>
      </w:r>
      <w:r w:rsidR="00DB20BC" w:rsidRPr="00F12567">
        <w:rPr>
          <w:sz w:val="22"/>
          <w:szCs w:val="22"/>
        </w:rPr>
        <w:t>e charged at £</w:t>
      </w:r>
      <w:r w:rsidR="00F635D6">
        <w:rPr>
          <w:sz w:val="22"/>
          <w:szCs w:val="22"/>
        </w:rPr>
        <w:t>3</w:t>
      </w:r>
      <w:r w:rsidR="00DB20BC" w:rsidRPr="00F12567">
        <w:rPr>
          <w:sz w:val="22"/>
          <w:szCs w:val="22"/>
        </w:rPr>
        <w:t>.</w:t>
      </w:r>
      <w:r w:rsidR="00F635D6">
        <w:rPr>
          <w:sz w:val="22"/>
          <w:szCs w:val="22"/>
        </w:rPr>
        <w:t>0</w:t>
      </w:r>
      <w:r w:rsidR="006A3BCE" w:rsidRPr="00F12567">
        <w:rPr>
          <w:sz w:val="22"/>
          <w:szCs w:val="22"/>
        </w:rPr>
        <w:t>0 per meal</w:t>
      </w:r>
      <w:r w:rsidR="00DB20BC" w:rsidRPr="00F12567">
        <w:rPr>
          <w:sz w:val="22"/>
          <w:szCs w:val="22"/>
        </w:rPr>
        <w:t xml:space="preserve"> </w:t>
      </w:r>
      <w:r w:rsidRPr="00F12567">
        <w:rPr>
          <w:sz w:val="22"/>
          <w:szCs w:val="22"/>
        </w:rPr>
        <w:t>unless entitlement to free school meals can be proved</w:t>
      </w:r>
      <w:r w:rsidR="006A3BCE" w:rsidRPr="00F12567">
        <w:rPr>
          <w:sz w:val="22"/>
          <w:szCs w:val="22"/>
        </w:rPr>
        <w:t>.</w:t>
      </w:r>
      <w:r w:rsidRPr="00F12567">
        <w:rPr>
          <w:sz w:val="22"/>
          <w:szCs w:val="22"/>
        </w:rPr>
        <w:t xml:space="preserve"> (Note: </w:t>
      </w:r>
      <w:r w:rsidR="006A3BCE" w:rsidRPr="00F12567">
        <w:rPr>
          <w:sz w:val="22"/>
          <w:szCs w:val="22"/>
        </w:rPr>
        <w:t xml:space="preserve">Residential students are entitled to free lunch and evening meal as </w:t>
      </w:r>
      <w:r w:rsidRPr="00F12567">
        <w:rPr>
          <w:sz w:val="22"/>
          <w:szCs w:val="22"/>
        </w:rPr>
        <w:t>part of their</w:t>
      </w:r>
      <w:r w:rsidR="006A3BCE" w:rsidRPr="00F12567">
        <w:rPr>
          <w:sz w:val="22"/>
          <w:szCs w:val="22"/>
        </w:rPr>
        <w:t xml:space="preserve"> boarding</w:t>
      </w:r>
      <w:r w:rsidRPr="00F12567">
        <w:rPr>
          <w:sz w:val="22"/>
          <w:szCs w:val="22"/>
        </w:rPr>
        <w:t xml:space="preserve"> arrangements</w:t>
      </w:r>
      <w:r w:rsidR="006A3BCE" w:rsidRPr="00F12567">
        <w:rPr>
          <w:sz w:val="22"/>
          <w:szCs w:val="22"/>
        </w:rPr>
        <w:t>.</w:t>
      </w:r>
      <w:r w:rsidRPr="00F12567">
        <w:rPr>
          <w:sz w:val="22"/>
          <w:szCs w:val="22"/>
        </w:rPr>
        <w:t>)</w:t>
      </w:r>
    </w:p>
    <w:p w:rsidR="002F6A23" w:rsidRPr="00F12567" w:rsidRDefault="002F6A23" w:rsidP="002A1D01">
      <w:pPr>
        <w:pStyle w:val="Default"/>
        <w:numPr>
          <w:ilvl w:val="0"/>
          <w:numId w:val="4"/>
        </w:numPr>
        <w:spacing w:before="120" w:after="120"/>
        <w:ind w:hanging="357"/>
        <w:rPr>
          <w:color w:val="auto"/>
          <w:sz w:val="22"/>
          <w:szCs w:val="22"/>
          <w:highlight w:val="yellow"/>
        </w:rPr>
      </w:pPr>
      <w:r w:rsidRPr="00F12567">
        <w:rPr>
          <w:color w:val="auto"/>
          <w:sz w:val="22"/>
          <w:szCs w:val="22"/>
          <w:highlight w:val="yellow"/>
        </w:rPr>
        <w:t>School uniform currently</w:t>
      </w:r>
    </w:p>
    <w:p w:rsidR="002F6A23" w:rsidRPr="00F12567" w:rsidRDefault="002F6A23" w:rsidP="002A1D01">
      <w:pPr>
        <w:pStyle w:val="Default"/>
        <w:numPr>
          <w:ilvl w:val="1"/>
          <w:numId w:val="4"/>
        </w:numPr>
        <w:spacing w:before="120" w:after="120"/>
        <w:rPr>
          <w:b/>
          <w:color w:val="auto"/>
          <w:sz w:val="22"/>
          <w:szCs w:val="22"/>
          <w:highlight w:val="yellow"/>
          <w:u w:val="single"/>
        </w:rPr>
      </w:pPr>
      <w:r w:rsidRPr="00F12567">
        <w:rPr>
          <w:color w:val="auto"/>
          <w:sz w:val="22"/>
          <w:szCs w:val="22"/>
          <w:highlight w:val="yellow"/>
        </w:rPr>
        <w:t>Tie £</w:t>
      </w:r>
      <w:r w:rsidR="00F635D6">
        <w:rPr>
          <w:color w:val="auto"/>
          <w:sz w:val="22"/>
          <w:szCs w:val="22"/>
          <w:highlight w:val="yellow"/>
        </w:rPr>
        <w:t>5.99</w:t>
      </w:r>
    </w:p>
    <w:p w:rsidR="002F6A23" w:rsidRPr="00F12567" w:rsidRDefault="006609C0" w:rsidP="002A1D01">
      <w:pPr>
        <w:pStyle w:val="Default"/>
        <w:numPr>
          <w:ilvl w:val="1"/>
          <w:numId w:val="4"/>
        </w:numPr>
        <w:spacing w:before="120" w:after="120"/>
        <w:rPr>
          <w:b/>
          <w:color w:val="auto"/>
          <w:sz w:val="22"/>
          <w:szCs w:val="22"/>
          <w:highlight w:val="yellow"/>
          <w:u w:val="single"/>
        </w:rPr>
      </w:pPr>
      <w:r>
        <w:rPr>
          <w:color w:val="auto"/>
          <w:sz w:val="22"/>
          <w:szCs w:val="22"/>
          <w:highlight w:val="yellow"/>
        </w:rPr>
        <w:t xml:space="preserve">Sweatshirts between </w:t>
      </w:r>
      <w:r w:rsidR="002F6A23" w:rsidRPr="00F12567">
        <w:rPr>
          <w:color w:val="auto"/>
          <w:sz w:val="22"/>
          <w:szCs w:val="22"/>
          <w:highlight w:val="yellow"/>
        </w:rPr>
        <w:t>£12.</w:t>
      </w:r>
      <w:r w:rsidR="002A1D01" w:rsidRPr="00F12567">
        <w:rPr>
          <w:color w:val="auto"/>
          <w:sz w:val="22"/>
          <w:szCs w:val="22"/>
          <w:highlight w:val="yellow"/>
        </w:rPr>
        <w:t>50</w:t>
      </w:r>
      <w:r w:rsidR="00F635D6">
        <w:rPr>
          <w:color w:val="auto"/>
          <w:sz w:val="22"/>
          <w:szCs w:val="22"/>
          <w:highlight w:val="yellow"/>
        </w:rPr>
        <w:t xml:space="preserve"> - £14.50</w:t>
      </w:r>
    </w:p>
    <w:p w:rsidR="00DB20BC" w:rsidRPr="002A1D01" w:rsidRDefault="002F6A23" w:rsidP="002A1D01">
      <w:pPr>
        <w:pStyle w:val="Default"/>
        <w:numPr>
          <w:ilvl w:val="1"/>
          <w:numId w:val="4"/>
        </w:numPr>
        <w:spacing w:before="120" w:after="120"/>
        <w:rPr>
          <w:b/>
          <w:sz w:val="22"/>
          <w:szCs w:val="22"/>
          <w:u w:val="single"/>
        </w:rPr>
      </w:pPr>
      <w:r w:rsidRPr="008F6DBF">
        <w:rPr>
          <w:sz w:val="22"/>
          <w:szCs w:val="22"/>
        </w:rPr>
        <w:t>Any other specialist items of equipment are considered on a case by case basis</w:t>
      </w:r>
    </w:p>
    <w:p w:rsidR="002A1D01" w:rsidRPr="008F6DBF" w:rsidRDefault="002A1D01" w:rsidP="002A1D01">
      <w:pPr>
        <w:pStyle w:val="Default"/>
        <w:spacing w:before="120" w:after="120"/>
        <w:ind w:left="363"/>
        <w:rPr>
          <w:b/>
          <w:sz w:val="22"/>
          <w:szCs w:val="22"/>
          <w:u w:val="single"/>
        </w:rPr>
      </w:pPr>
    </w:p>
    <w:p w:rsidR="002F6A23" w:rsidRPr="008F6DBF" w:rsidRDefault="002A1D01" w:rsidP="002A1D01">
      <w:pPr>
        <w:pStyle w:val="Default"/>
        <w:spacing w:before="120" w:after="120"/>
        <w:rPr>
          <w:sz w:val="22"/>
          <w:szCs w:val="22"/>
        </w:rPr>
      </w:pPr>
      <w:r w:rsidRPr="008F6DBF">
        <w:rPr>
          <w:b/>
          <w:sz w:val="22"/>
          <w:szCs w:val="22"/>
          <w:u w:val="single"/>
        </w:rPr>
        <w:lastRenderedPageBreak/>
        <w:t>Remissions</w:t>
      </w:r>
    </w:p>
    <w:p w:rsidR="002F6A23" w:rsidRPr="008F6DBF" w:rsidRDefault="002F6A23" w:rsidP="002A1D01">
      <w:pPr>
        <w:pStyle w:val="Default"/>
        <w:spacing w:before="120" w:after="120"/>
        <w:rPr>
          <w:sz w:val="22"/>
          <w:szCs w:val="22"/>
        </w:rPr>
      </w:pPr>
      <w:r w:rsidRPr="008F6DBF">
        <w:rPr>
          <w:sz w:val="22"/>
          <w:szCs w:val="22"/>
        </w:rPr>
        <w:t xml:space="preserve">Students whose parents are in receipt of government support payments may, in addition to having a free school lunch entitlement, also be entitled to the remission of charges for board and lodging costs during residential school trips. The relevant support payments are: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Income Support (IS)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Income Based Jobseekers Allowance (IBJSA)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Support under part V1 of the immigration and Asylum Act 1999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The guarantee element of the State Pension Credit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Child Tax Credit, provided that Working Tax credit is not also received and the family’s income (as assessed by Her Majesty’s Revenue and Customs) does not exceed the limit for that tax year </w:t>
      </w:r>
    </w:p>
    <w:p w:rsidR="002F6A23" w:rsidRPr="008F6DBF" w:rsidRDefault="002F6A23" w:rsidP="002A1D01">
      <w:pPr>
        <w:pStyle w:val="Default"/>
        <w:numPr>
          <w:ilvl w:val="0"/>
          <w:numId w:val="7"/>
        </w:numPr>
        <w:spacing w:before="120" w:after="120"/>
        <w:ind w:left="714" w:hanging="357"/>
        <w:rPr>
          <w:sz w:val="22"/>
          <w:szCs w:val="22"/>
        </w:rPr>
      </w:pPr>
      <w:r w:rsidRPr="008F6DBF">
        <w:rPr>
          <w:sz w:val="22"/>
          <w:szCs w:val="22"/>
        </w:rPr>
        <w:t xml:space="preserve">An income related employment and support allowance that was introduced on 27th October 2008. </w:t>
      </w:r>
    </w:p>
    <w:p w:rsidR="002F6A23" w:rsidRPr="008F6DBF" w:rsidRDefault="002F6A23" w:rsidP="002A1D01">
      <w:pPr>
        <w:pStyle w:val="Default"/>
        <w:spacing w:before="120"/>
        <w:rPr>
          <w:sz w:val="22"/>
          <w:szCs w:val="22"/>
        </w:rPr>
      </w:pPr>
    </w:p>
    <w:p w:rsidR="0025505B" w:rsidRDefault="0025505B">
      <w:pPr>
        <w:rPr>
          <w:rFonts w:ascii="Arial" w:hAnsi="Arial" w:cs="Arial"/>
          <w:b/>
          <w:color w:val="000000"/>
          <w:u w:val="single"/>
        </w:rPr>
      </w:pPr>
      <w:r>
        <w:rPr>
          <w:b/>
          <w:u w:val="single"/>
        </w:rPr>
        <w:br w:type="page"/>
      </w:r>
    </w:p>
    <w:p w:rsidR="002F6A23" w:rsidRPr="008F6DBF" w:rsidRDefault="002F6A23" w:rsidP="002A1D01">
      <w:pPr>
        <w:pStyle w:val="Default"/>
        <w:spacing w:before="120"/>
        <w:rPr>
          <w:b/>
          <w:sz w:val="22"/>
          <w:szCs w:val="22"/>
          <w:u w:val="single"/>
        </w:rPr>
      </w:pPr>
      <w:r w:rsidRPr="008F6DBF">
        <w:rPr>
          <w:b/>
          <w:sz w:val="22"/>
          <w:szCs w:val="22"/>
          <w:u w:val="single"/>
        </w:rPr>
        <w:lastRenderedPageBreak/>
        <w:t>Voluntary Contributions</w:t>
      </w:r>
    </w:p>
    <w:p w:rsidR="00667205" w:rsidRPr="008F6DBF" w:rsidRDefault="00667205" w:rsidP="002A1D01">
      <w:pPr>
        <w:pStyle w:val="Default"/>
        <w:spacing w:before="120" w:after="120"/>
        <w:rPr>
          <w:bCs/>
          <w:sz w:val="22"/>
          <w:szCs w:val="22"/>
        </w:rPr>
      </w:pPr>
      <w:r w:rsidRPr="008F6DBF">
        <w:rPr>
          <w:bCs/>
          <w:sz w:val="22"/>
          <w:szCs w:val="22"/>
        </w:rPr>
        <w:t>Parents may be invited to make a voluntary contribution towards the following:</w:t>
      </w:r>
    </w:p>
    <w:p w:rsidR="00667205" w:rsidRPr="008F6DBF" w:rsidRDefault="00667205" w:rsidP="002A1D01">
      <w:pPr>
        <w:pStyle w:val="Default"/>
        <w:numPr>
          <w:ilvl w:val="0"/>
          <w:numId w:val="9"/>
        </w:numPr>
        <w:spacing w:before="120" w:after="120"/>
        <w:rPr>
          <w:bCs/>
          <w:sz w:val="22"/>
          <w:szCs w:val="22"/>
        </w:rPr>
      </w:pPr>
      <w:r w:rsidRPr="008F6DBF">
        <w:rPr>
          <w:bCs/>
          <w:sz w:val="22"/>
          <w:szCs w:val="22"/>
        </w:rPr>
        <w:t>Activities within a curriculum area</w:t>
      </w:r>
    </w:p>
    <w:p w:rsidR="00667205" w:rsidRPr="002A1D01" w:rsidRDefault="00667205" w:rsidP="002E7A56">
      <w:pPr>
        <w:pStyle w:val="Default"/>
        <w:numPr>
          <w:ilvl w:val="0"/>
          <w:numId w:val="9"/>
        </w:numPr>
        <w:spacing w:before="120" w:after="120"/>
        <w:rPr>
          <w:bCs/>
          <w:sz w:val="22"/>
          <w:szCs w:val="22"/>
        </w:rPr>
      </w:pPr>
      <w:r w:rsidRPr="002A1D01">
        <w:rPr>
          <w:bCs/>
          <w:sz w:val="22"/>
          <w:szCs w:val="22"/>
        </w:rPr>
        <w:t>Support education trips and visits</w:t>
      </w:r>
      <w:r w:rsidR="002A1D01" w:rsidRPr="002A1D01">
        <w:rPr>
          <w:bCs/>
          <w:sz w:val="22"/>
          <w:szCs w:val="22"/>
        </w:rPr>
        <w:t xml:space="preserve"> and </w:t>
      </w:r>
      <w:r w:rsidR="002A1D01">
        <w:rPr>
          <w:bCs/>
          <w:sz w:val="22"/>
          <w:szCs w:val="22"/>
        </w:rPr>
        <w:t>a</w:t>
      </w:r>
      <w:r w:rsidRPr="002A1D01">
        <w:rPr>
          <w:bCs/>
          <w:sz w:val="22"/>
          <w:szCs w:val="22"/>
        </w:rPr>
        <w:t>ssociated travel costs</w:t>
      </w:r>
    </w:p>
    <w:p w:rsidR="00667205" w:rsidRPr="008F6DBF" w:rsidRDefault="00667205" w:rsidP="002A1D01">
      <w:pPr>
        <w:pStyle w:val="Default"/>
        <w:spacing w:before="240" w:after="120"/>
        <w:rPr>
          <w:bCs/>
          <w:sz w:val="22"/>
          <w:szCs w:val="22"/>
        </w:rPr>
      </w:pPr>
      <w:r w:rsidRPr="008F6DBF">
        <w:rPr>
          <w:bCs/>
          <w:sz w:val="22"/>
          <w:szCs w:val="22"/>
        </w:rPr>
        <w:t>The terms of any request made to parents will specify that the request for a voluntary contribution, in addition the following will be made clear to parents:</w:t>
      </w:r>
    </w:p>
    <w:p w:rsidR="00667205" w:rsidRPr="008F6DBF" w:rsidRDefault="00667205" w:rsidP="002A1D01">
      <w:pPr>
        <w:pStyle w:val="Default"/>
        <w:numPr>
          <w:ilvl w:val="0"/>
          <w:numId w:val="11"/>
        </w:numPr>
        <w:spacing w:before="120" w:after="120"/>
        <w:rPr>
          <w:bCs/>
          <w:sz w:val="22"/>
          <w:szCs w:val="22"/>
        </w:rPr>
      </w:pPr>
      <w:r w:rsidRPr="008F6DBF">
        <w:rPr>
          <w:bCs/>
          <w:sz w:val="22"/>
          <w:szCs w:val="22"/>
        </w:rPr>
        <w:t>that the contribution is genuinely voluntary and a parent is under no obligation to pay; and</w:t>
      </w:r>
    </w:p>
    <w:p w:rsidR="00667205" w:rsidRPr="008F6DBF" w:rsidRDefault="00667205" w:rsidP="002A1D01">
      <w:pPr>
        <w:pStyle w:val="Default"/>
        <w:numPr>
          <w:ilvl w:val="0"/>
          <w:numId w:val="11"/>
        </w:numPr>
        <w:spacing w:before="120" w:after="120"/>
        <w:rPr>
          <w:bCs/>
          <w:sz w:val="22"/>
          <w:szCs w:val="22"/>
        </w:rPr>
      </w:pPr>
      <w:r w:rsidRPr="008F6DBF">
        <w:rPr>
          <w:bCs/>
          <w:sz w:val="22"/>
          <w:szCs w:val="22"/>
        </w:rPr>
        <w:t>Remissions that registered students at the school will not be treated differently according to whether or not their parents have made any contribution in response to the request.</w:t>
      </w:r>
    </w:p>
    <w:p w:rsidR="00667205" w:rsidRPr="008F6DBF" w:rsidRDefault="00667205" w:rsidP="002A1D01">
      <w:pPr>
        <w:pStyle w:val="Default"/>
        <w:numPr>
          <w:ilvl w:val="0"/>
          <w:numId w:val="11"/>
        </w:numPr>
        <w:spacing w:before="120" w:after="120"/>
        <w:rPr>
          <w:bCs/>
          <w:sz w:val="22"/>
          <w:szCs w:val="22"/>
        </w:rPr>
      </w:pPr>
      <w:r w:rsidRPr="008F6DBF">
        <w:rPr>
          <w:bCs/>
          <w:sz w:val="22"/>
          <w:szCs w:val="22"/>
        </w:rPr>
        <w:t>If insufficient voluntary contributions are received the school reserves the right to cancel the event.</w:t>
      </w:r>
    </w:p>
    <w:p w:rsidR="00667205" w:rsidRPr="008F6DBF" w:rsidRDefault="00667205" w:rsidP="002A1D01">
      <w:pPr>
        <w:pStyle w:val="Default"/>
        <w:spacing w:before="240" w:after="120"/>
        <w:rPr>
          <w:bCs/>
          <w:sz w:val="22"/>
          <w:szCs w:val="22"/>
        </w:rPr>
      </w:pPr>
      <w:r w:rsidRPr="008F6DBF">
        <w:rPr>
          <w:bCs/>
          <w:sz w:val="22"/>
          <w:szCs w:val="22"/>
        </w:rPr>
        <w:t xml:space="preserve">The responsibility for determining the level of voluntary contribution is delegated to the </w:t>
      </w:r>
      <w:r w:rsidR="008F6DBF" w:rsidRPr="008F6DBF">
        <w:rPr>
          <w:bCs/>
          <w:sz w:val="22"/>
          <w:szCs w:val="22"/>
        </w:rPr>
        <w:t>Senior Leadership</w:t>
      </w:r>
      <w:r w:rsidRPr="008F6DBF">
        <w:rPr>
          <w:bCs/>
          <w:sz w:val="22"/>
          <w:szCs w:val="22"/>
        </w:rPr>
        <w:t xml:space="preserve"> </w:t>
      </w:r>
      <w:r w:rsidR="008F6DBF" w:rsidRPr="008F6DBF">
        <w:rPr>
          <w:bCs/>
          <w:sz w:val="22"/>
          <w:szCs w:val="22"/>
        </w:rPr>
        <w:t>T</w:t>
      </w:r>
      <w:r w:rsidRPr="008F6DBF">
        <w:rPr>
          <w:bCs/>
          <w:sz w:val="22"/>
          <w:szCs w:val="22"/>
        </w:rPr>
        <w:t>eam within the school.</w:t>
      </w:r>
    </w:p>
    <w:p w:rsidR="00667205" w:rsidRPr="008F6DBF" w:rsidRDefault="00667205" w:rsidP="002A1D01">
      <w:pPr>
        <w:pStyle w:val="Default"/>
        <w:spacing w:before="120" w:after="120"/>
        <w:rPr>
          <w:bCs/>
          <w:sz w:val="22"/>
          <w:szCs w:val="22"/>
        </w:rPr>
      </w:pPr>
      <w:r w:rsidRPr="008F6DBF">
        <w:rPr>
          <w:bCs/>
          <w:sz w:val="22"/>
          <w:szCs w:val="22"/>
        </w:rPr>
        <w:t>Voluntary contributions will be used to:</w:t>
      </w:r>
    </w:p>
    <w:p w:rsidR="00667205" w:rsidRPr="008F6DBF" w:rsidRDefault="00667205" w:rsidP="002A1D01">
      <w:pPr>
        <w:pStyle w:val="Default"/>
        <w:numPr>
          <w:ilvl w:val="0"/>
          <w:numId w:val="11"/>
        </w:numPr>
        <w:spacing w:before="120" w:after="120"/>
        <w:rPr>
          <w:bCs/>
          <w:sz w:val="22"/>
          <w:szCs w:val="22"/>
        </w:rPr>
      </w:pPr>
      <w:r w:rsidRPr="008F6DBF">
        <w:rPr>
          <w:bCs/>
          <w:sz w:val="22"/>
          <w:szCs w:val="22"/>
        </w:rPr>
        <w:t xml:space="preserve">Enhance and support learning activities </w:t>
      </w:r>
    </w:p>
    <w:p w:rsidR="00667205" w:rsidRPr="008F6DBF" w:rsidRDefault="00667205" w:rsidP="002A1D01">
      <w:pPr>
        <w:pStyle w:val="Default"/>
        <w:numPr>
          <w:ilvl w:val="0"/>
          <w:numId w:val="11"/>
        </w:numPr>
        <w:spacing w:before="120" w:after="120"/>
        <w:rPr>
          <w:bCs/>
          <w:sz w:val="22"/>
          <w:szCs w:val="22"/>
        </w:rPr>
      </w:pPr>
      <w:r w:rsidRPr="008F6DBF">
        <w:rPr>
          <w:bCs/>
          <w:sz w:val="22"/>
          <w:szCs w:val="22"/>
        </w:rPr>
        <w:t>Support some educational visits</w:t>
      </w:r>
    </w:p>
    <w:p w:rsidR="002F6A23" w:rsidRPr="008F6DBF" w:rsidRDefault="00667205" w:rsidP="002A1D01">
      <w:pPr>
        <w:pStyle w:val="Default"/>
        <w:numPr>
          <w:ilvl w:val="0"/>
          <w:numId w:val="11"/>
        </w:numPr>
        <w:spacing w:before="120" w:after="120"/>
        <w:rPr>
          <w:sz w:val="22"/>
          <w:szCs w:val="22"/>
        </w:rPr>
      </w:pPr>
      <w:r w:rsidRPr="008F6DBF">
        <w:rPr>
          <w:bCs/>
          <w:sz w:val="22"/>
          <w:szCs w:val="22"/>
        </w:rPr>
        <w:t>Travel costs</w:t>
      </w:r>
      <w:r w:rsidR="002F6A23" w:rsidRPr="008F6DBF">
        <w:rPr>
          <w:sz w:val="22"/>
          <w:szCs w:val="22"/>
        </w:rPr>
        <w:t xml:space="preserve"> </w:t>
      </w:r>
      <w:r w:rsidR="002A1D01">
        <w:rPr>
          <w:sz w:val="22"/>
          <w:szCs w:val="22"/>
        </w:rPr>
        <w:t>associated with the above</w:t>
      </w:r>
    </w:p>
    <w:p w:rsidR="002F6A23" w:rsidRPr="008F6DBF" w:rsidRDefault="002F6A23" w:rsidP="002A1D01">
      <w:pPr>
        <w:pStyle w:val="Default"/>
        <w:spacing w:before="120"/>
        <w:rPr>
          <w:sz w:val="22"/>
          <w:szCs w:val="22"/>
        </w:rPr>
      </w:pPr>
    </w:p>
    <w:p w:rsidR="008F6DBF" w:rsidRDefault="008F6DBF" w:rsidP="002A1D01">
      <w:pPr>
        <w:pStyle w:val="NoSpacing"/>
        <w:spacing w:before="120" w:after="120"/>
        <w:rPr>
          <w:rFonts w:ascii="Arial" w:hAnsi="Arial" w:cs="Arial"/>
        </w:rPr>
      </w:pPr>
    </w:p>
    <w:p w:rsidR="003C3B75" w:rsidRPr="008F6DBF" w:rsidRDefault="006A3BCE" w:rsidP="002A1D01">
      <w:pPr>
        <w:pStyle w:val="NoSpacing"/>
        <w:spacing w:before="120" w:after="120"/>
        <w:rPr>
          <w:rFonts w:ascii="Arial" w:hAnsi="Arial" w:cs="Arial"/>
        </w:rPr>
      </w:pPr>
      <w:r w:rsidRPr="008F6DBF">
        <w:rPr>
          <w:rFonts w:ascii="Arial" w:hAnsi="Arial" w:cs="Arial"/>
          <w:b/>
        </w:rPr>
        <w:t>Next Review Date</w:t>
      </w:r>
      <w:r w:rsidRPr="008F6DBF">
        <w:rPr>
          <w:rFonts w:ascii="Arial" w:hAnsi="Arial" w:cs="Arial"/>
        </w:rPr>
        <w:t xml:space="preserve">: </w:t>
      </w:r>
      <w:r w:rsidR="002C32C4">
        <w:rPr>
          <w:rFonts w:ascii="Arial" w:hAnsi="Arial" w:cs="Arial"/>
        </w:rPr>
        <w:t>January 202</w:t>
      </w:r>
      <w:r w:rsidR="00F12567">
        <w:rPr>
          <w:rFonts w:ascii="Arial" w:hAnsi="Arial" w:cs="Arial"/>
        </w:rPr>
        <w:t>3</w:t>
      </w:r>
    </w:p>
    <w:sectPr w:rsidR="003C3B75" w:rsidRPr="008F6DBF" w:rsidSect="00DB20BC">
      <w:headerReference w:type="default" r:id="rId8"/>
      <w:pgSz w:w="11906" w:h="16838"/>
      <w:pgMar w:top="1134"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58" w:rsidRDefault="00050D58" w:rsidP="00050D58">
      <w:pPr>
        <w:spacing w:after="0" w:line="240" w:lineRule="auto"/>
      </w:pPr>
      <w:r>
        <w:separator/>
      </w:r>
    </w:p>
  </w:endnote>
  <w:endnote w:type="continuationSeparator" w:id="0">
    <w:p w:rsidR="00050D58" w:rsidRDefault="00050D58" w:rsidP="0005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58" w:rsidRDefault="00050D58" w:rsidP="00050D58">
      <w:pPr>
        <w:spacing w:after="0" w:line="240" w:lineRule="auto"/>
      </w:pPr>
      <w:r>
        <w:separator/>
      </w:r>
    </w:p>
  </w:footnote>
  <w:footnote w:type="continuationSeparator" w:id="0">
    <w:p w:rsidR="00050D58" w:rsidRDefault="00050D58" w:rsidP="0005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58" w:rsidRDefault="00050D58">
    <w:pPr>
      <w:pStyle w:val="Header"/>
    </w:pPr>
    <w:r>
      <w:t xml:space="preserve">Date of Policy 2019 </w:t>
    </w:r>
  </w:p>
  <w:p w:rsidR="00050D58" w:rsidRDefault="00050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7F6"/>
    <w:multiLevelType w:val="hybridMultilevel"/>
    <w:tmpl w:val="804C4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3CB6"/>
    <w:multiLevelType w:val="hybridMultilevel"/>
    <w:tmpl w:val="AE6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86F23"/>
    <w:multiLevelType w:val="hybridMultilevel"/>
    <w:tmpl w:val="60CE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E75"/>
    <w:multiLevelType w:val="hybridMultilevel"/>
    <w:tmpl w:val="E78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D6490"/>
    <w:multiLevelType w:val="hybridMultilevel"/>
    <w:tmpl w:val="15D605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ACD"/>
    <w:multiLevelType w:val="hybridMultilevel"/>
    <w:tmpl w:val="7D524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A050A"/>
    <w:multiLevelType w:val="hybridMultilevel"/>
    <w:tmpl w:val="2F4AAFFC"/>
    <w:lvl w:ilvl="0" w:tplc="EDCC4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007EB"/>
    <w:multiLevelType w:val="hybridMultilevel"/>
    <w:tmpl w:val="4E3489F8"/>
    <w:lvl w:ilvl="0" w:tplc="E08046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00EE7"/>
    <w:multiLevelType w:val="hybridMultilevel"/>
    <w:tmpl w:val="F0EA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F3229"/>
    <w:multiLevelType w:val="hybridMultilevel"/>
    <w:tmpl w:val="2AAC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90FE0"/>
    <w:multiLevelType w:val="hybridMultilevel"/>
    <w:tmpl w:val="EFA40238"/>
    <w:lvl w:ilvl="0" w:tplc="75CCAC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465937"/>
    <w:multiLevelType w:val="hybridMultilevel"/>
    <w:tmpl w:val="BB1A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327A3"/>
    <w:multiLevelType w:val="hybridMultilevel"/>
    <w:tmpl w:val="EDCC5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6"/>
  </w:num>
  <w:num w:numId="6">
    <w:abstractNumId w:val="10"/>
  </w:num>
  <w:num w:numId="7">
    <w:abstractNumId w:val="1"/>
  </w:num>
  <w:num w:numId="8">
    <w:abstractNumId w:val="4"/>
  </w:num>
  <w:num w:numId="9">
    <w:abstractNumId w:val="11"/>
  </w:num>
  <w:num w:numId="10">
    <w:abstractNumId w:val="5"/>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CE"/>
    <w:rsid w:val="00050D58"/>
    <w:rsid w:val="00150974"/>
    <w:rsid w:val="001D0C4C"/>
    <w:rsid w:val="0025505B"/>
    <w:rsid w:val="002A1D01"/>
    <w:rsid w:val="002C32C4"/>
    <w:rsid w:val="002F6A23"/>
    <w:rsid w:val="003318E2"/>
    <w:rsid w:val="00355E66"/>
    <w:rsid w:val="00384DD0"/>
    <w:rsid w:val="003C3B75"/>
    <w:rsid w:val="003C45B6"/>
    <w:rsid w:val="00460F3F"/>
    <w:rsid w:val="00552028"/>
    <w:rsid w:val="006609C0"/>
    <w:rsid w:val="00667205"/>
    <w:rsid w:val="006A3BCE"/>
    <w:rsid w:val="007C3EA3"/>
    <w:rsid w:val="008F6DBF"/>
    <w:rsid w:val="00AC6026"/>
    <w:rsid w:val="00DB20BC"/>
    <w:rsid w:val="00E03D4C"/>
    <w:rsid w:val="00F12567"/>
    <w:rsid w:val="00F635D6"/>
    <w:rsid w:val="00FE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502A"/>
  <w15:chartTrackingRefBased/>
  <w15:docId w15:val="{7CCC3B6A-5D23-4E68-B4BC-A0F0D15C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BCE"/>
    <w:pPr>
      <w:spacing w:after="0" w:line="240" w:lineRule="auto"/>
    </w:pPr>
  </w:style>
  <w:style w:type="paragraph" w:customStyle="1" w:styleId="Default">
    <w:name w:val="Default"/>
    <w:rsid w:val="00AC60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58"/>
  </w:style>
  <w:style w:type="paragraph" w:styleId="Footer">
    <w:name w:val="footer"/>
    <w:basedOn w:val="Normal"/>
    <w:link w:val="FooterChar"/>
    <w:uiPriority w:val="99"/>
    <w:unhideWhenUsed/>
    <w:rsid w:val="0005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58"/>
  </w:style>
  <w:style w:type="table" w:styleId="TableGrid">
    <w:name w:val="Table Grid"/>
    <w:basedOn w:val="TableNormal"/>
    <w:uiPriority w:val="59"/>
    <w:rsid w:val="00F1256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Creegan</dc:creator>
  <cp:keywords/>
  <dc:description/>
  <cp:lastModifiedBy>Kara Marilli</cp:lastModifiedBy>
  <cp:revision>5</cp:revision>
  <cp:lastPrinted>2022-11-08T10:00:00Z</cp:lastPrinted>
  <dcterms:created xsi:type="dcterms:W3CDTF">2022-11-07T16:10:00Z</dcterms:created>
  <dcterms:modified xsi:type="dcterms:W3CDTF">2022-11-08T10:01:00Z</dcterms:modified>
</cp:coreProperties>
</file>